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EABB8" w14:textId="77777777" w:rsidR="00917F04" w:rsidRDefault="004773E8" w:rsidP="00D87A51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Theme="minorHAnsi" w:hAnsiTheme="minorHAnsi" w:cstheme="minorHAnsi"/>
          <w:i/>
          <w:iCs/>
          <w:color w:val="000000"/>
          <w:spacing w:val="-3"/>
          <w:sz w:val="22"/>
          <w:szCs w:val="22"/>
        </w:rPr>
      </w:pPr>
      <w:r w:rsidRPr="00D87A51">
        <w:rPr>
          <w:rStyle w:val="Emphasis"/>
          <w:rFonts w:asciiTheme="minorHAnsi" w:hAnsiTheme="minorHAnsi" w:cstheme="minorHAnsi"/>
          <w:i w:val="0"/>
          <w:iCs w:val="0"/>
          <w:color w:val="000000"/>
          <w:spacing w:val="-3"/>
          <w:sz w:val="22"/>
          <w:szCs w:val="22"/>
        </w:rPr>
        <w:t>ACPE ACCREDITATION COMMISSION</w:t>
      </w:r>
    </w:p>
    <w:p w14:paraId="2DB6DF08" w14:textId="57AF2E5E" w:rsidR="004773E8" w:rsidRPr="00D87A51" w:rsidRDefault="00747DBF" w:rsidP="00D87A51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Theme="minorHAnsi" w:hAnsiTheme="minorHAnsi" w:cstheme="minorHAnsi"/>
          <w:i/>
          <w:iCs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S</w:t>
      </w:r>
      <w:r w:rsidR="004773E8" w:rsidRPr="00917F0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</w:rPr>
        <w:t>TE VISIT REPORT—PART I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: </w:t>
      </w:r>
      <w:r w:rsidRPr="00747DBF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PRELIMINARY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RECOMMENDATIONS OF THE SITE TEAM</w:t>
      </w:r>
    </w:p>
    <w:p w14:paraId="5B96F91E" w14:textId="40F21FDC" w:rsidR="004773E8" w:rsidRPr="00D87A51" w:rsidRDefault="003C7ADD" w:rsidP="003C7ADD">
      <w:pPr>
        <w:widowControl w:val="0"/>
        <w:tabs>
          <w:tab w:val="left" w:pos="720"/>
          <w:tab w:val="left" w:pos="7501"/>
        </w:tabs>
        <w:autoSpaceDE w:val="0"/>
        <w:autoSpaceDN w:val="0"/>
        <w:adjustRightInd w:val="0"/>
        <w:spacing w:before="207" w:line="253" w:lineRule="exact"/>
        <w:ind w:left="-450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3C7ADD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CENTER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:     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 xml:space="preserve">                                                            ___________</w:t>
      </w:r>
      <w:r w:rsidR="006900ED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________</w:t>
      </w:r>
      <w:r w:rsidR="006900ED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____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</w:t>
      </w:r>
      <w:r w:rsidR="00D87A5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  </w:t>
      </w:r>
      <w:r w:rsidRPr="003C7ADD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DATES OF VISIT</w:t>
      </w:r>
      <w:r w:rsidR="004773E8" w:rsidRPr="003C7ADD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: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______________</w:t>
      </w:r>
    </w:p>
    <w:p w14:paraId="49DFCB1D" w14:textId="63C4F0F6" w:rsidR="004773E8" w:rsidRPr="00D87A51" w:rsidRDefault="003C7ADD" w:rsidP="004538D2">
      <w:pPr>
        <w:widowControl w:val="0"/>
        <w:tabs>
          <w:tab w:val="left" w:pos="720"/>
        </w:tabs>
        <w:autoSpaceDE w:val="0"/>
        <w:autoSpaceDN w:val="0"/>
        <w:adjustRightInd w:val="0"/>
        <w:spacing w:before="234" w:line="253" w:lineRule="exact"/>
        <w:ind w:left="-450"/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</w:pPr>
      <w:r w:rsidRPr="003C7ADD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CENTER ADDRESS</w:t>
      </w:r>
      <w:r w:rsidR="004773E8" w:rsidRPr="003C7ADD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: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__________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__________________________</w:t>
      </w:r>
      <w:r w:rsidR="006900ED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_____________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___________________________</w:t>
      </w:r>
    </w:p>
    <w:p w14:paraId="298001DC" w14:textId="77777777" w:rsidR="004773E8" w:rsidRPr="00D87A51" w:rsidRDefault="004773E8" w:rsidP="004538D2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ind w:left="-450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2ED42519" w14:textId="5B44DE1B" w:rsidR="004773E8" w:rsidRPr="00D87A51" w:rsidRDefault="003C7ADD" w:rsidP="006900ED">
      <w:pPr>
        <w:widowControl w:val="0"/>
        <w:tabs>
          <w:tab w:val="left" w:pos="720"/>
        </w:tabs>
        <w:autoSpaceDE w:val="0"/>
        <w:autoSpaceDN w:val="0"/>
        <w:adjustRightInd w:val="0"/>
        <w:spacing w:before="14" w:line="253" w:lineRule="exact"/>
        <w:ind w:left="-450"/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</w:pPr>
      <w:r w:rsidRPr="003C7ADD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CENTER EDUCATOR(S):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______________________________________________________</w:t>
      </w:r>
      <w:r w:rsidR="006900ED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______________</w:t>
      </w:r>
      <w:r w:rsidR="004773E8" w:rsidRPr="00D87A51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_____</w:t>
      </w:r>
    </w:p>
    <w:p w14:paraId="1B9FF133" w14:textId="4A61D53E" w:rsidR="004773E8" w:rsidRPr="00D87A51" w:rsidRDefault="003C7ADD" w:rsidP="004538D2">
      <w:pPr>
        <w:widowControl w:val="0"/>
        <w:tabs>
          <w:tab w:val="left" w:pos="720"/>
        </w:tabs>
        <w:autoSpaceDE w:val="0"/>
        <w:autoSpaceDN w:val="0"/>
        <w:adjustRightInd w:val="0"/>
        <w:spacing w:before="247" w:line="253" w:lineRule="exact"/>
        <w:ind w:left="-450"/>
        <w:rPr>
          <w:rFonts w:asciiTheme="minorHAnsi" w:hAnsiTheme="minorHAnsi" w:cstheme="minorHAnsi"/>
          <w:color w:val="000000"/>
          <w:spacing w:val="-4"/>
          <w:sz w:val="22"/>
          <w:szCs w:val="22"/>
          <w:u w:val="single"/>
        </w:rPr>
      </w:pPr>
      <w:r w:rsidRPr="003C7ADD">
        <w:rPr>
          <w:rFonts w:asciiTheme="minorHAnsi" w:hAnsiTheme="minorHAnsi" w:cstheme="minorHAnsi"/>
          <w:bCs/>
          <w:color w:val="000000"/>
          <w:spacing w:val="-4"/>
          <w:sz w:val="22"/>
          <w:szCs w:val="22"/>
        </w:rPr>
        <w:t>NATIONAL SITE TEAM CHAIR: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  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  <w:u w:val="single"/>
        </w:rPr>
        <w:t>_______________________________________________</w:t>
      </w:r>
      <w:r w:rsidR="006900ED">
        <w:rPr>
          <w:rFonts w:asciiTheme="minorHAnsi" w:hAnsiTheme="minorHAnsi" w:cstheme="minorHAnsi"/>
          <w:color w:val="000000"/>
          <w:spacing w:val="-4"/>
          <w:sz w:val="22"/>
          <w:szCs w:val="22"/>
          <w:u w:val="single"/>
        </w:rPr>
        <w:t>______________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  <w:u w:val="single"/>
        </w:rPr>
        <w:t>______</w:t>
      </w:r>
    </w:p>
    <w:p w14:paraId="676C684E" w14:textId="3BE00D58" w:rsidR="0092667F" w:rsidRDefault="003C7ADD" w:rsidP="00747DBF">
      <w:pPr>
        <w:widowControl w:val="0"/>
        <w:tabs>
          <w:tab w:val="left" w:pos="720"/>
        </w:tabs>
        <w:autoSpaceDE w:val="0"/>
        <w:autoSpaceDN w:val="0"/>
        <w:adjustRightInd w:val="0"/>
        <w:spacing w:before="247" w:line="253" w:lineRule="exact"/>
        <w:ind w:left="-450"/>
        <w:rPr>
          <w:rFonts w:asciiTheme="minorHAnsi" w:hAnsiTheme="minorHAnsi" w:cstheme="minorHAnsi"/>
          <w:color w:val="000000"/>
          <w:spacing w:val="-4"/>
          <w:sz w:val="22"/>
          <w:szCs w:val="22"/>
          <w:u w:val="single"/>
        </w:rPr>
      </w:pPr>
      <w:r w:rsidRPr="003C7ADD">
        <w:rPr>
          <w:rFonts w:asciiTheme="minorHAnsi" w:hAnsiTheme="minorHAnsi" w:cstheme="minorHAnsi"/>
          <w:bCs/>
          <w:color w:val="000000"/>
          <w:spacing w:val="-4"/>
          <w:sz w:val="22"/>
          <w:szCs w:val="22"/>
        </w:rPr>
        <w:t>TEAM MEMBERS: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  <w:u w:val="single"/>
        </w:rPr>
        <w:t>___________________________________________________________</w:t>
      </w:r>
      <w:r w:rsidR="006900ED">
        <w:rPr>
          <w:rFonts w:asciiTheme="minorHAnsi" w:hAnsiTheme="minorHAnsi" w:cstheme="minorHAnsi"/>
          <w:color w:val="000000"/>
          <w:spacing w:val="-4"/>
          <w:sz w:val="22"/>
          <w:szCs w:val="22"/>
          <w:u w:val="single"/>
        </w:rPr>
        <w:t>____________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  <w:u w:val="single"/>
        </w:rPr>
        <w:t>_______</w:t>
      </w:r>
    </w:p>
    <w:p w14:paraId="0A1F1341" w14:textId="412105A8" w:rsidR="004773E8" w:rsidRPr="0092667F" w:rsidRDefault="007F4921" w:rsidP="00747DBF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ind w:left="-630" w:right="-720"/>
        <w:rPr>
          <w:rFonts w:asciiTheme="minorHAnsi" w:hAnsiTheme="minorHAnsi" w:cstheme="minorHAnsi"/>
          <w:color w:val="000000"/>
          <w:spacing w:val="-4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pict w14:anchorId="34A3CECB">
          <v:rect id="_x0000_i1025" style="width:468pt;height:1.5pt" o:hrstd="t" o:hrnoshade="t" o:hr="t" fillcolor="#ffc000" stroked="f"/>
        </w:pict>
      </w:r>
    </w:p>
    <w:p w14:paraId="65326A4B" w14:textId="5090545F" w:rsidR="004773E8" w:rsidRPr="001D1802" w:rsidRDefault="001D1802" w:rsidP="009266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4" w:line="253" w:lineRule="exact"/>
        <w:ind w:left="-90" w:right="-54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>Material Submitted:</w:t>
      </w:r>
    </w:p>
    <w:p w14:paraId="5A24BC9A" w14:textId="44977AC8" w:rsidR="004773E8" w:rsidRDefault="004773E8" w:rsidP="00D755EB">
      <w:pPr>
        <w:widowControl w:val="0"/>
        <w:tabs>
          <w:tab w:val="left" w:pos="720"/>
        </w:tabs>
        <w:autoSpaceDE w:val="0"/>
        <w:autoSpaceDN w:val="0"/>
        <w:adjustRightInd w:val="0"/>
        <w:spacing w:before="1" w:line="237" w:lineRule="exact"/>
        <w:ind w:left="-90" w:right="-540"/>
        <w:rPr>
          <w:rFonts w:asciiTheme="minorHAnsi" w:hAnsiTheme="minorHAnsi" w:cstheme="minorHAnsi"/>
          <w:sz w:val="22"/>
          <w:szCs w:val="22"/>
        </w:rPr>
      </w:pPr>
      <w:r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___   </w:t>
      </w:r>
      <w:r w:rsidRPr="00D87A51">
        <w:rPr>
          <w:rFonts w:asciiTheme="minorHAnsi" w:hAnsiTheme="minorHAnsi" w:cstheme="minorHAnsi"/>
          <w:sz w:val="22"/>
          <w:szCs w:val="22"/>
        </w:rPr>
        <w:t>Accreditation Review Request and Face Sheet</w:t>
      </w:r>
      <w:r w:rsidRPr="00D87A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87A51">
        <w:rPr>
          <w:rFonts w:asciiTheme="minorHAnsi" w:hAnsiTheme="minorHAnsi" w:cstheme="minorHAnsi"/>
          <w:sz w:val="22"/>
          <w:szCs w:val="22"/>
        </w:rPr>
        <w:t>(</w:t>
      </w:r>
      <w:r w:rsidRPr="00D87A51">
        <w:rPr>
          <w:rFonts w:asciiTheme="minorHAnsi" w:hAnsiTheme="minorHAnsi" w:cstheme="minorHAnsi"/>
          <w:iCs/>
          <w:sz w:val="22"/>
          <w:szCs w:val="22"/>
        </w:rPr>
        <w:t>Appendix 3</w:t>
      </w:r>
      <w:r w:rsidRPr="00D87A51">
        <w:rPr>
          <w:rFonts w:asciiTheme="minorHAnsi" w:hAnsiTheme="minorHAnsi" w:cstheme="minorHAnsi"/>
          <w:sz w:val="22"/>
          <w:szCs w:val="22"/>
        </w:rPr>
        <w:t>)</w:t>
      </w:r>
    </w:p>
    <w:p w14:paraId="024E1C1B" w14:textId="3E7A4932" w:rsidR="00D755EB" w:rsidRDefault="00D755EB" w:rsidP="00D755EB">
      <w:pPr>
        <w:widowControl w:val="0"/>
        <w:tabs>
          <w:tab w:val="left" w:pos="720"/>
        </w:tabs>
        <w:autoSpaceDE w:val="0"/>
        <w:autoSpaceDN w:val="0"/>
        <w:adjustRightInd w:val="0"/>
        <w:spacing w:before="1" w:line="237" w:lineRule="exact"/>
        <w:ind w:left="-9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4538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8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List of PAG Members</w:t>
      </w:r>
    </w:p>
    <w:p w14:paraId="34B067D6" w14:textId="7456E5EB" w:rsidR="00D755EB" w:rsidRDefault="00D755EB" w:rsidP="00D755EB">
      <w:pPr>
        <w:widowControl w:val="0"/>
        <w:tabs>
          <w:tab w:val="left" w:pos="720"/>
        </w:tabs>
        <w:autoSpaceDE w:val="0"/>
        <w:autoSpaceDN w:val="0"/>
        <w:adjustRightInd w:val="0"/>
        <w:spacing w:before="1" w:line="237" w:lineRule="exact"/>
        <w:ind w:left="-9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 </w:t>
      </w:r>
      <w:r w:rsidR="004538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History of center’s accreditation (Dates, recommendations, notations, other actions)</w:t>
      </w:r>
    </w:p>
    <w:p w14:paraId="755DF71C" w14:textId="1F460A4B" w:rsidR="00D755EB" w:rsidRPr="00D87A51" w:rsidRDefault="00D755EB" w:rsidP="004538D2">
      <w:pPr>
        <w:widowControl w:val="0"/>
        <w:tabs>
          <w:tab w:val="left" w:pos="720"/>
        </w:tabs>
        <w:autoSpaceDE w:val="0"/>
        <w:autoSpaceDN w:val="0"/>
        <w:adjustRightInd w:val="0"/>
        <w:spacing w:before="1" w:line="237" w:lineRule="exact"/>
        <w:ind w:left="360" w:right="-540" w:hanging="45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 </w:t>
      </w:r>
      <w:r w:rsidR="004538D2">
        <w:rPr>
          <w:rFonts w:asciiTheme="minorHAnsi" w:hAnsiTheme="minorHAnsi" w:cstheme="minorHAnsi"/>
          <w:sz w:val="22"/>
          <w:szCs w:val="22"/>
        </w:rPr>
        <w:t xml:space="preserve"> Re</w:t>
      </w:r>
      <w:r>
        <w:rPr>
          <w:rFonts w:asciiTheme="minorHAnsi" w:hAnsiTheme="minorHAnsi" w:cstheme="minorHAnsi"/>
          <w:sz w:val="22"/>
          <w:szCs w:val="22"/>
        </w:rPr>
        <w:t>cord of programs offered since last review: type of program(s), dates, number of students, educator(s).</w:t>
      </w:r>
    </w:p>
    <w:p w14:paraId="00EBE925" w14:textId="3984DE26" w:rsidR="004773E8" w:rsidRPr="00D87A51" w:rsidRDefault="004773E8" w:rsidP="004538D2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ind w:left="-90" w:right="-540" w:hanging="720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ab/>
      </w:r>
      <w:r w:rsidR="0092667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___   </w:t>
      </w:r>
      <w:r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Self-Study/Feasibility Document </w:t>
      </w:r>
      <w:r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br/>
        <w:t xml:space="preserve">___   </w:t>
      </w:r>
      <w:r w:rsidR="001D1802">
        <w:rPr>
          <w:rFonts w:asciiTheme="minorHAnsi" w:hAnsiTheme="minorHAnsi" w:cstheme="minorHAnsi"/>
          <w:color w:val="000000"/>
          <w:spacing w:val="-4"/>
          <w:sz w:val="22"/>
          <w:szCs w:val="22"/>
        </w:rPr>
        <w:t>Annual Reports (up to 4 years); Annual Reports already in BoardEffect do not need to be included).</w:t>
      </w:r>
      <w:r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br/>
      </w:r>
      <w:r w:rsidR="00D755EB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___   Commission </w:t>
      </w:r>
      <w:r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Action Reports from </w:t>
      </w:r>
      <w:r w:rsidR="00D755EB">
        <w:rPr>
          <w:rFonts w:asciiTheme="minorHAnsi" w:hAnsiTheme="minorHAnsi" w:cstheme="minorHAnsi"/>
          <w:color w:val="000000"/>
          <w:spacing w:val="-4"/>
          <w:sz w:val="22"/>
          <w:szCs w:val="22"/>
        </w:rPr>
        <w:t>most recent 5 and 10 year r</w:t>
      </w:r>
      <w:r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eviews </w:t>
      </w:r>
      <w:r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br/>
      </w:r>
      <w:r w:rsidR="004538D2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       </w:t>
      </w:r>
      <w:r w:rsidR="004538D2"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  <w:r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>Student Handbook</w:t>
      </w:r>
      <w:r w:rsidR="00D755EB">
        <w:rPr>
          <w:rFonts w:asciiTheme="minorHAnsi" w:hAnsiTheme="minorHAnsi" w:cstheme="minorHAnsi"/>
          <w:color w:val="000000"/>
          <w:spacing w:val="-4"/>
          <w:sz w:val="22"/>
          <w:szCs w:val="22"/>
        </w:rPr>
        <w:t>(s)</w:t>
      </w:r>
      <w:r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</w:p>
    <w:p w14:paraId="755BE8B6" w14:textId="3CBB1A26" w:rsidR="004773E8" w:rsidRPr="00D87A51" w:rsidRDefault="00D755EB" w:rsidP="0092667F">
      <w:pPr>
        <w:widowControl w:val="0"/>
        <w:tabs>
          <w:tab w:val="left" w:pos="720"/>
        </w:tabs>
        <w:autoSpaceDE w:val="0"/>
        <w:autoSpaceDN w:val="0"/>
        <w:adjustRightInd w:val="0"/>
        <w:spacing w:before="1" w:line="244" w:lineRule="exact"/>
        <w:ind w:left="-90" w:right="-540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___   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>Center Disclosure Information (</w:t>
      </w:r>
      <w:r w:rsidR="004773E8" w:rsidRPr="00D87A51">
        <w:rPr>
          <w:rFonts w:asciiTheme="minorHAnsi" w:hAnsiTheme="minorHAnsi" w:cstheme="minorHAnsi"/>
          <w:spacing w:val="-4"/>
          <w:sz w:val="22"/>
          <w:szCs w:val="22"/>
        </w:rPr>
        <w:t>Appendix 4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>)</w:t>
      </w:r>
    </w:p>
    <w:p w14:paraId="61FB77C4" w14:textId="40752707" w:rsidR="004773E8" w:rsidRPr="00D87A51" w:rsidRDefault="00D755EB" w:rsidP="0092667F">
      <w:pPr>
        <w:widowControl w:val="0"/>
        <w:tabs>
          <w:tab w:val="left" w:pos="720"/>
        </w:tabs>
        <w:autoSpaceDE w:val="0"/>
        <w:autoSpaceDN w:val="0"/>
        <w:adjustRightInd w:val="0"/>
        <w:spacing w:before="1" w:line="238" w:lineRule="exact"/>
        <w:ind w:left="-90" w:right="-540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4B42DC">
        <w:rPr>
          <w:rFonts w:asciiTheme="minorHAnsi" w:hAnsiTheme="minorHAnsi" w:cstheme="minorHAnsi"/>
          <w:color w:val="000000"/>
          <w:spacing w:val="-4"/>
          <w:sz w:val="22"/>
          <w:szCs w:val="22"/>
          <w:u w:val="single"/>
        </w:rPr>
        <w:t xml:space="preserve">___ </w:t>
      </w:r>
      <w:r w:rsidRPr="004B42DC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 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Appendix 5, </w:t>
      </w:r>
      <w:r w:rsidR="004773E8" w:rsidRPr="00D87A51">
        <w:rPr>
          <w:rFonts w:asciiTheme="minorHAnsi" w:hAnsiTheme="minorHAnsi" w:cstheme="minorHAnsi"/>
          <w:spacing w:val="-4"/>
          <w:sz w:val="22"/>
          <w:szCs w:val="22"/>
        </w:rPr>
        <w:t>Part I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and </w:t>
      </w:r>
      <w:r w:rsidR="004773E8" w:rsidRPr="00D87A51">
        <w:rPr>
          <w:rFonts w:asciiTheme="minorHAnsi" w:hAnsiTheme="minorHAnsi" w:cstheme="minorHAnsi"/>
          <w:spacing w:val="-4"/>
          <w:sz w:val="22"/>
          <w:szCs w:val="22"/>
        </w:rPr>
        <w:t>Part II</w:t>
      </w:r>
      <w:r w:rsidR="004773E8" w:rsidRPr="00D87A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 </w:t>
      </w:r>
    </w:p>
    <w:p w14:paraId="1E880041" w14:textId="201CD7CE" w:rsidR="004773E8" w:rsidRPr="001D1802" w:rsidRDefault="004773E8" w:rsidP="0092667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2519"/>
        </w:tabs>
        <w:autoSpaceDE w:val="0"/>
        <w:autoSpaceDN w:val="0"/>
        <w:adjustRightInd w:val="0"/>
        <w:spacing w:before="21" w:line="253" w:lineRule="exact"/>
        <w:ind w:left="-90" w:right="-54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>Describe the site team’s pre-visit orientation to its role and responsibilities and actions</w:t>
      </w:r>
      <w:r w:rsidR="001D1802"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>taken to familiarize the team with ACPE standards and accreditation procedures.</w:t>
      </w:r>
    </w:p>
    <w:p w14:paraId="290182CE" w14:textId="60C05C41" w:rsidR="004773E8" w:rsidRPr="001D1802" w:rsidRDefault="004773E8" w:rsidP="00D755EB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-54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>Briefly summarize the history and current description of the center, including the pastoral</w:t>
      </w:r>
      <w:r w:rsidR="001D1802"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>care program/department.</w:t>
      </w:r>
    </w:p>
    <w:p w14:paraId="3FBEDF5B" w14:textId="26A0616F" w:rsidR="004773E8" w:rsidRPr="001D1802" w:rsidRDefault="004773E8" w:rsidP="0092667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line="252" w:lineRule="exact"/>
        <w:ind w:left="-90" w:right="-54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>Briefly summarize the center’s prior accreditation history.  What deficiencies and/or</w:t>
      </w:r>
      <w:r w:rsidR="001D1802"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notations were assigned? What concerns were identified? How were concerns, </w:t>
      </w:r>
      <w:r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>deficiencies, and notations addressed?</w:t>
      </w:r>
    </w:p>
    <w:p w14:paraId="188B6E11" w14:textId="71C6B8B6" w:rsidR="004773E8" w:rsidRPr="001D1802" w:rsidRDefault="004773E8" w:rsidP="0092667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before="1" w:line="253" w:lineRule="exact"/>
        <w:ind w:left="-90" w:right="-54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>Assess the center’s self-study/feasibility study process and the resulting document.</w:t>
      </w:r>
    </w:p>
    <w:p w14:paraId="380A4B02" w14:textId="161B7DC2" w:rsidR="004773E8" w:rsidRPr="001D1802" w:rsidRDefault="004773E8" w:rsidP="005C168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2519"/>
        </w:tabs>
        <w:autoSpaceDE w:val="0"/>
        <w:autoSpaceDN w:val="0"/>
        <w:adjustRightInd w:val="0"/>
        <w:spacing w:line="253" w:lineRule="exact"/>
        <w:ind w:left="-90" w:right="-54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Describe each </w:t>
      </w:r>
      <w:r w:rsidR="005C1687">
        <w:rPr>
          <w:rFonts w:asciiTheme="minorHAnsi" w:hAnsiTheme="minorHAnsi" w:cstheme="minorHAnsi"/>
          <w:color w:val="000000"/>
          <w:spacing w:val="-3"/>
          <w:sz w:val="22"/>
          <w:szCs w:val="22"/>
        </w:rPr>
        <w:t>aspect</w:t>
      </w:r>
      <w:r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of the site visit.</w:t>
      </w:r>
    </w:p>
    <w:p w14:paraId="5496BE4A" w14:textId="3B227089" w:rsidR="001D1802" w:rsidRDefault="004773E8" w:rsidP="0092667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2519"/>
        </w:tabs>
        <w:autoSpaceDE w:val="0"/>
        <w:autoSpaceDN w:val="0"/>
        <w:adjustRightInd w:val="0"/>
        <w:spacing w:line="252" w:lineRule="exact"/>
        <w:ind w:left="-90" w:right="-54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List strengths and limitations of the center and </w:t>
      </w:r>
      <w:r w:rsidR="004B42D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its </w:t>
      </w:r>
      <w:r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programs.  </w:t>
      </w:r>
    </w:p>
    <w:p w14:paraId="7DEC547A" w14:textId="16D1834A" w:rsidR="004773E8" w:rsidRPr="001D1802" w:rsidRDefault="001D1802" w:rsidP="0092667F">
      <w:pPr>
        <w:widowControl w:val="0"/>
        <w:tabs>
          <w:tab w:val="left" w:pos="720"/>
          <w:tab w:val="left" w:pos="2519"/>
        </w:tabs>
        <w:autoSpaceDE w:val="0"/>
        <w:autoSpaceDN w:val="0"/>
        <w:adjustRightInd w:val="0"/>
        <w:spacing w:line="252" w:lineRule="exact"/>
        <w:ind w:left="-90" w:right="-54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Be sure to i</w:t>
      </w:r>
      <w:r w:rsidR="004773E8"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>nclude:</w:t>
      </w:r>
    </w:p>
    <w:p w14:paraId="6E71DAD5" w14:textId="43653767" w:rsidR="004773E8" w:rsidRPr="001D1802" w:rsidRDefault="004773E8" w:rsidP="00D755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" w:line="240" w:lineRule="exact"/>
        <w:ind w:left="36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an assessment of the center’s financial viability to offer programs of  CPE as reflected </w:t>
      </w:r>
      <w:r w:rsidRPr="001D180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in financial audit statements; </w:t>
      </w:r>
    </w:p>
    <w:p w14:paraId="20E509CD" w14:textId="4D89DDC7" w:rsidR="004773E8" w:rsidRPr="001D1802" w:rsidRDefault="004773E8" w:rsidP="00D755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" w:line="240" w:lineRule="exact"/>
        <w:ind w:left="36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 description and assessment of center’s measurement of students’ achievement after </w:t>
      </w:r>
      <w:r w:rsidR="003C7ADD">
        <w:rPr>
          <w:rFonts w:asciiTheme="minorHAnsi" w:hAnsiTheme="minorHAnsi" w:cstheme="minorHAnsi"/>
          <w:color w:val="000000"/>
          <w:spacing w:val="-4"/>
          <w:sz w:val="22"/>
          <w:szCs w:val="22"/>
        </w:rPr>
        <w:t>completing CPE Level I/Level II</w:t>
      </w:r>
      <w:r w:rsidRPr="001D180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and </w:t>
      </w:r>
      <w:r w:rsidR="009673DF" w:rsidRPr="001D1802">
        <w:rPr>
          <w:rFonts w:asciiTheme="minorHAnsi" w:hAnsiTheme="minorHAnsi" w:cstheme="minorHAnsi"/>
          <w:color w:val="000000"/>
          <w:spacing w:val="-4"/>
          <w:sz w:val="22"/>
          <w:szCs w:val="22"/>
        </w:rPr>
        <w:t>Certified Educator</w:t>
      </w:r>
      <w:r w:rsidRPr="001D180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CPE. </w:t>
      </w:r>
    </w:p>
    <w:p w14:paraId="0DB5D105" w14:textId="0A670FB5" w:rsidR="004773E8" w:rsidRDefault="004773E8" w:rsidP="0092667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-54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Summarize the </w:t>
      </w:r>
      <w:r w:rsidR="0092667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center’s compliance with ACPE </w:t>
      </w:r>
      <w:r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>standards</w:t>
      </w:r>
      <w:r w:rsidR="0092667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, including Appendix 5, Part </w:t>
      </w:r>
      <w:proofErr w:type="gramStart"/>
      <w:r w:rsidR="0092667F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proofErr w:type="gramEnd"/>
      <w:r w:rsidR="0092667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and Part II, providing documentation and citing specific standards for areas where the center is not compliant and for other </w:t>
      </w:r>
      <w:r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issues </w:t>
      </w:r>
      <w:r w:rsidR="0092667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that need to be addressed by the center in its </w:t>
      </w:r>
      <w:r w:rsidRPr="001D18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response to </w:t>
      </w:r>
      <w:r w:rsidR="001D1802" w:rsidRPr="001D180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the </w:t>
      </w:r>
      <w:r w:rsidR="0092667F">
        <w:rPr>
          <w:rFonts w:asciiTheme="minorHAnsi" w:hAnsiTheme="minorHAnsi" w:cstheme="minorHAnsi"/>
          <w:color w:val="000000"/>
          <w:spacing w:val="-3"/>
          <w:sz w:val="22"/>
          <w:szCs w:val="22"/>
        </w:rPr>
        <w:t>Part I Report.</w:t>
      </w:r>
    </w:p>
    <w:p w14:paraId="162946A4" w14:textId="77777777" w:rsidR="0092667F" w:rsidRPr="0092667F" w:rsidRDefault="0092667F" w:rsidP="0092667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-54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Indicate the timeline for the center response and Part II Report, including the specific dates by which each is due.</w:t>
      </w:r>
      <w:r w:rsidRPr="0092667F">
        <w:t xml:space="preserve"> </w:t>
      </w:r>
    </w:p>
    <w:p w14:paraId="2127C5A5" w14:textId="2BCEA0D0" w:rsidR="0092667F" w:rsidRPr="0092667F" w:rsidRDefault="0092667F" w:rsidP="00E32ADC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360" w:right="27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92667F">
        <w:rPr>
          <w:rFonts w:asciiTheme="minorHAnsi" w:hAnsiTheme="minorHAnsi" w:cstheme="minorHAnsi"/>
          <w:color w:val="000000"/>
          <w:spacing w:val="-3"/>
          <w:sz w:val="22"/>
          <w:szCs w:val="22"/>
        </w:rPr>
        <w:t>The Part I Report is due to the Center 14 days after the conclusion of the site visit.</w:t>
      </w:r>
      <w:r w:rsidR="00E32AD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Be sure to include Appendix 5 Parts I &amp; II documents with the report.</w:t>
      </w:r>
    </w:p>
    <w:p w14:paraId="0DD60CF5" w14:textId="77777777" w:rsidR="0092667F" w:rsidRPr="0092667F" w:rsidRDefault="0092667F" w:rsidP="00D755EB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360" w:right="27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92667F">
        <w:rPr>
          <w:rFonts w:asciiTheme="minorHAnsi" w:hAnsiTheme="minorHAnsi" w:cstheme="minorHAnsi"/>
          <w:color w:val="000000"/>
          <w:spacing w:val="-3"/>
          <w:sz w:val="22"/>
          <w:szCs w:val="22"/>
        </w:rPr>
        <w:t>The Center's Response to the Part I Report is due to the National Site Team Chair 44 days after the conclusion of the site visit (30 days after the 14 day period for receipt of the Part I Report ends).</w:t>
      </w:r>
    </w:p>
    <w:p w14:paraId="623BB920" w14:textId="77777777" w:rsidR="005D6FA1" w:rsidRDefault="0092667F" w:rsidP="00D755EB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360" w:right="27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92667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The Part II Report is due to the Center 58 days after the conclusion of the site visit (14 days after the 30 day period for the Center's Response ends). </w:t>
      </w:r>
    </w:p>
    <w:p w14:paraId="67BBC774" w14:textId="09B385CB" w:rsidR="0092667F" w:rsidRPr="005D6FA1" w:rsidRDefault="007F4921" w:rsidP="005D6FA1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540" w:right="-54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pict w14:anchorId="75243934">
          <v:rect id="_x0000_i1026" style="width:468pt;height:1.5pt" o:hrstd="t" o:hrnoshade="t" o:hr="t" fillcolor="#ffc000" stroked="f"/>
        </w:pict>
      </w:r>
    </w:p>
    <w:p w14:paraId="5F25EBDE" w14:textId="7324DA14" w:rsidR="004773E8" w:rsidRPr="0092667F" w:rsidRDefault="004773E8" w:rsidP="0092667F">
      <w:pPr>
        <w:pStyle w:val="ListParagraph"/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-54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4CD69F21" w14:textId="114214F1" w:rsidR="00523DF3" w:rsidRPr="005D6FA1" w:rsidRDefault="0092667F" w:rsidP="00E32ADC">
      <w:pPr>
        <w:ind w:left="-450" w:right="-5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D6FA1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In addition to sending the Part I Report to the center, please also send a </w:t>
      </w:r>
      <w:r w:rsidR="00E32ADC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complete </w:t>
      </w:r>
      <w:r w:rsidRPr="005D6FA1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copy to </w:t>
      </w:r>
      <w:r w:rsidR="004773E8" w:rsidRPr="005D6FA1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the </w:t>
      </w:r>
      <w:r w:rsidR="009673DF" w:rsidRPr="005D6FA1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>Area</w:t>
      </w:r>
      <w:r w:rsidR="004773E8" w:rsidRPr="005D6FA1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 Accreditation Chair and the Accreditation Commission Chair.</w:t>
      </w:r>
    </w:p>
    <w:sectPr w:rsidR="00523DF3" w:rsidRPr="005D6FA1" w:rsidSect="00747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65312" w14:textId="77777777" w:rsidR="004773E8" w:rsidRDefault="004773E8" w:rsidP="004773E8">
      <w:r>
        <w:separator/>
      </w:r>
    </w:p>
  </w:endnote>
  <w:endnote w:type="continuationSeparator" w:id="0">
    <w:p w14:paraId="5D39028E" w14:textId="77777777" w:rsidR="004773E8" w:rsidRDefault="004773E8" w:rsidP="0047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FCA8" w14:textId="77777777" w:rsidR="007F4921" w:rsidRDefault="007F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CC90" w14:textId="77777777" w:rsidR="007F4921" w:rsidRDefault="007F4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24B9" w14:textId="77777777" w:rsidR="007F4921" w:rsidRDefault="007F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1ECA" w14:textId="77777777" w:rsidR="004773E8" w:rsidRDefault="004773E8" w:rsidP="004773E8">
      <w:r>
        <w:separator/>
      </w:r>
    </w:p>
  </w:footnote>
  <w:footnote w:type="continuationSeparator" w:id="0">
    <w:p w14:paraId="6725A8E9" w14:textId="77777777" w:rsidR="004773E8" w:rsidRDefault="004773E8" w:rsidP="0047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F85F4" w14:textId="77777777" w:rsidR="007F4921" w:rsidRDefault="007F4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4379" w14:textId="250FE06F" w:rsidR="004773E8" w:rsidRPr="007F4921" w:rsidRDefault="009673DF" w:rsidP="007F4921">
    <w:pPr>
      <w:pStyle w:val="Header"/>
      <w:jc w:val="center"/>
    </w:pPr>
    <w:r>
      <w:rPr>
        <w:noProof/>
        <w:lang w:bidi="he-IL"/>
      </w:rPr>
      <w:drawing>
        <wp:inline distT="0" distB="0" distL="0" distR="0" wp14:anchorId="5537FB53" wp14:editId="5ADEC79B">
          <wp:extent cx="1371600" cy="49204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405" cy="50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B718" w14:textId="77777777" w:rsidR="007F4921" w:rsidRDefault="007F4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5E9"/>
    <w:multiLevelType w:val="hybridMultilevel"/>
    <w:tmpl w:val="4CF00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89D"/>
    <w:multiLevelType w:val="hybridMultilevel"/>
    <w:tmpl w:val="4FCC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4280"/>
    <w:multiLevelType w:val="hybridMultilevel"/>
    <w:tmpl w:val="E9121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017459"/>
    <w:multiLevelType w:val="hybridMultilevel"/>
    <w:tmpl w:val="9506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E6333"/>
    <w:multiLevelType w:val="hybridMultilevel"/>
    <w:tmpl w:val="40A6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E8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1802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B03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C7ADD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38D2"/>
    <w:rsid w:val="00456AB1"/>
    <w:rsid w:val="00457E39"/>
    <w:rsid w:val="004609FE"/>
    <w:rsid w:val="0046293F"/>
    <w:rsid w:val="0047054D"/>
    <w:rsid w:val="00470A66"/>
    <w:rsid w:val="00473C5E"/>
    <w:rsid w:val="00474CA8"/>
    <w:rsid w:val="004773E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2DC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687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6FA1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00ED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47DBF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4921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17F04"/>
    <w:rsid w:val="00923E61"/>
    <w:rsid w:val="0092667F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673DF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5EB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A51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2AD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9CAB0A1"/>
  <w15:chartTrackingRefBased/>
  <w15:docId w15:val="{DC0EA4D3-3D0A-41AB-85F5-8D8AEB1C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E8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773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E8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E8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773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10</cp:revision>
  <dcterms:created xsi:type="dcterms:W3CDTF">2018-05-15T20:11:00Z</dcterms:created>
  <dcterms:modified xsi:type="dcterms:W3CDTF">2018-05-16T20:41:00Z</dcterms:modified>
</cp:coreProperties>
</file>