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EE3FDC" w:rsidRPr="002B6A66" w:rsidTr="00EE3FDC">
        <w:tc>
          <w:tcPr>
            <w:tcW w:w="8005" w:type="dxa"/>
            <w:shd w:val="clear" w:color="auto" w:fill="C5E0B3" w:themeFill="accent6" w:themeFillTint="66"/>
          </w:tcPr>
          <w:p w:rsidR="00EE3FDC" w:rsidRPr="002B6A66" w:rsidRDefault="00321577" w:rsidP="00A74329">
            <w:pPr>
              <w:rPr>
                <w:b/>
              </w:rPr>
            </w:pPr>
            <w:r>
              <w:rPr>
                <w:b/>
                <w:lang w:eastAsia="ko-KR"/>
              </w:rPr>
              <w:t>Hazardous Waste</w:t>
            </w:r>
            <w:r>
              <w:rPr>
                <w:b/>
                <w:lang w:eastAsia="ko-KR"/>
              </w:rPr>
              <w:t xml:space="preserve"> Management Checklist</w:t>
            </w:r>
          </w:p>
        </w:tc>
        <w:tc>
          <w:tcPr>
            <w:tcW w:w="1012" w:type="dxa"/>
            <w:shd w:val="clear" w:color="auto" w:fill="C5E0B3" w:themeFill="accent6" w:themeFillTint="66"/>
          </w:tcPr>
          <w:p w:rsidR="00EE3FDC" w:rsidRPr="002B6A66" w:rsidRDefault="00EE3FDC" w:rsidP="00A74329">
            <w:pPr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EE3FDC" w:rsidTr="00A74329">
        <w:trPr>
          <w:trHeight w:val="638"/>
        </w:trPr>
        <w:tc>
          <w:tcPr>
            <w:tcW w:w="8005" w:type="dxa"/>
          </w:tcPr>
          <w:p w:rsidR="00EE3FDC" w:rsidRDefault="00EE3FDC" w:rsidP="00A74329">
            <w:pPr>
              <w:rPr>
                <w:lang w:eastAsia="ko-KR"/>
              </w:rPr>
            </w:pPr>
            <w:r>
              <w:rPr>
                <w:lang w:eastAsia="ko-KR"/>
              </w:rPr>
              <w:t>All hazardous waste streams generated have been identified and appropriately separated from regular wastes.</w:t>
            </w:r>
          </w:p>
        </w:tc>
        <w:tc>
          <w:tcPr>
            <w:tcW w:w="1012" w:type="dxa"/>
          </w:tcPr>
          <w:p w:rsidR="00EE3FDC" w:rsidRDefault="00EE3FDC" w:rsidP="00A743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EE3FDC" w:rsidTr="00A74329">
        <w:trPr>
          <w:trHeight w:val="638"/>
        </w:trPr>
        <w:tc>
          <w:tcPr>
            <w:tcW w:w="8005" w:type="dxa"/>
          </w:tcPr>
          <w:p w:rsidR="00EE3FDC" w:rsidRDefault="00EE3FDC" w:rsidP="00A74329">
            <w:pPr>
              <w:rPr>
                <w:lang w:eastAsia="ko-KR"/>
              </w:rPr>
            </w:pPr>
            <w:r>
              <w:t>A</w:t>
            </w:r>
            <w:r w:rsidRPr="003C1DE3">
              <w:t xml:space="preserve">ll applicable environmental permits </w:t>
            </w:r>
            <w:r>
              <w:t>relating to hazardous waste generation and disposal have been obtained.</w:t>
            </w:r>
          </w:p>
        </w:tc>
        <w:tc>
          <w:tcPr>
            <w:tcW w:w="1012" w:type="dxa"/>
          </w:tcPr>
          <w:p w:rsidR="00EE3FDC" w:rsidRPr="00EA209C" w:rsidRDefault="00EE3FDC" w:rsidP="00A743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48"/>
                <w:szCs w:val="24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EE3FDC" w:rsidTr="00A74329">
        <w:trPr>
          <w:trHeight w:val="638"/>
        </w:trPr>
        <w:tc>
          <w:tcPr>
            <w:tcW w:w="8005" w:type="dxa"/>
          </w:tcPr>
          <w:p w:rsidR="00EE3FDC" w:rsidRDefault="00EE3FDC" w:rsidP="00A74329">
            <w:r>
              <w:t>H</w:t>
            </w:r>
            <w:r w:rsidRPr="00BF2A05">
              <w:t xml:space="preserve">azardous wastes are </w:t>
            </w:r>
            <w:r>
              <w:t xml:space="preserve">being </w:t>
            </w:r>
            <w:r w:rsidRPr="00BF2A05">
              <w:t>collected by a fully licensed waste handler</w:t>
            </w:r>
            <w:r>
              <w:t xml:space="preserve"> and </w:t>
            </w:r>
            <w:r w:rsidRPr="00BF2A05">
              <w:t>records (i.e. waste manifests) disposal</w:t>
            </w:r>
            <w:r>
              <w:t xml:space="preserve"> are fully maintained on-site</w:t>
            </w:r>
            <w:r w:rsidRPr="00BF2A05">
              <w:t>.</w:t>
            </w:r>
          </w:p>
        </w:tc>
        <w:tc>
          <w:tcPr>
            <w:tcW w:w="1012" w:type="dxa"/>
          </w:tcPr>
          <w:p w:rsidR="00EE3FDC" w:rsidRPr="00EA209C" w:rsidRDefault="00EE3FDC" w:rsidP="00A743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48"/>
                <w:szCs w:val="24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EE3FDC" w:rsidRPr="002B6A66" w:rsidTr="00A74329">
        <w:tc>
          <w:tcPr>
            <w:tcW w:w="8005" w:type="dxa"/>
          </w:tcPr>
          <w:p w:rsidR="00EE3FDC" w:rsidRPr="00EE3FDC" w:rsidRDefault="00EE3FDC" w:rsidP="00A74329">
            <w:r w:rsidRPr="00EE3FDC">
              <w:t xml:space="preserve">Hazardous wastes are being stored in areas that have all required safety features and protections including: </w:t>
            </w:r>
          </w:p>
          <w:p w:rsidR="00EE3FDC" w:rsidRDefault="00EE3FDC" w:rsidP="00EE3FDC">
            <w:pPr>
              <w:pStyle w:val="NoSpacing"/>
              <w:numPr>
                <w:ilvl w:val="0"/>
                <w:numId w:val="5"/>
              </w:numPr>
            </w:pPr>
            <w:r>
              <w:t>Impervious surfaces and secondary containment.</w:t>
            </w:r>
            <w:r>
              <w:rPr>
                <w:noProof/>
                <w:lang w:eastAsia="en-US"/>
              </w:rPr>
              <w:t xml:space="preserve"> </w:t>
            </w:r>
          </w:p>
          <w:p w:rsidR="00EE3FDC" w:rsidRDefault="00EE3FDC" w:rsidP="00EE3FDC">
            <w:pPr>
              <w:pStyle w:val="NoSpacing"/>
              <w:numPr>
                <w:ilvl w:val="0"/>
                <w:numId w:val="5"/>
              </w:numPr>
            </w:pPr>
            <w:r>
              <w:t>Proper signage and labels on all waste containers.</w:t>
            </w:r>
          </w:p>
          <w:p w:rsidR="00EE3FDC" w:rsidRDefault="00EE3FDC" w:rsidP="00EE3FDC">
            <w:pPr>
              <w:pStyle w:val="NoSpacing"/>
              <w:numPr>
                <w:ilvl w:val="0"/>
                <w:numId w:val="5"/>
              </w:numPr>
            </w:pPr>
            <w:r>
              <w:t>Protection measures from fire risks.</w:t>
            </w:r>
          </w:p>
          <w:p w:rsidR="00EE3FDC" w:rsidRDefault="00EE3FDC" w:rsidP="00EE3FDC">
            <w:pPr>
              <w:pStyle w:val="NoSpacing"/>
              <w:numPr>
                <w:ilvl w:val="0"/>
                <w:numId w:val="4"/>
              </w:numPr>
            </w:pPr>
            <w:r>
              <w:t>Area is well ventilated.</w:t>
            </w:r>
          </w:p>
          <w:p w:rsidR="00EE3FDC" w:rsidRDefault="00EE3FDC" w:rsidP="00EE3FDC">
            <w:pPr>
              <w:pStyle w:val="NoSpacing"/>
              <w:numPr>
                <w:ilvl w:val="0"/>
                <w:numId w:val="4"/>
              </w:numPr>
            </w:pPr>
            <w:r>
              <w:t>Wastes are protection from direct sunlight or other weather conditions.</w:t>
            </w:r>
          </w:p>
          <w:p w:rsidR="00EE3FDC" w:rsidRDefault="00EE3FDC" w:rsidP="00EE3FDC">
            <w:pPr>
              <w:pStyle w:val="NoSpacing"/>
              <w:numPr>
                <w:ilvl w:val="0"/>
                <w:numId w:val="4"/>
              </w:numPr>
            </w:pPr>
            <w:r>
              <w:t xml:space="preserve">Only authorized persons </w:t>
            </w:r>
            <w:proofErr w:type="gramStart"/>
            <w:r>
              <w:t>are able to</w:t>
            </w:r>
            <w:proofErr w:type="gramEnd"/>
            <w:r>
              <w:t xml:space="preserve"> access storage areas.</w:t>
            </w:r>
          </w:p>
          <w:p w:rsidR="00EE3FDC" w:rsidRDefault="00EE3FDC" w:rsidP="00EE3FDC">
            <w:pPr>
              <w:pStyle w:val="NoSpacing"/>
              <w:numPr>
                <w:ilvl w:val="0"/>
                <w:numId w:val="4"/>
              </w:numPr>
            </w:pPr>
            <w:r>
              <w:t>Spill clean-up equipment is readily available</w:t>
            </w:r>
            <w:r w:rsidRPr="002F779A">
              <w:t>.</w:t>
            </w:r>
          </w:p>
          <w:p w:rsidR="00EE3FDC" w:rsidRDefault="00EE3FDC" w:rsidP="00A74329">
            <w:pPr>
              <w:pStyle w:val="NoSpacing"/>
              <w:ind w:left="720"/>
            </w:pPr>
          </w:p>
          <w:p w:rsidR="00EE3FDC" w:rsidRPr="002B6A66" w:rsidRDefault="00EE3FDC" w:rsidP="00A74329">
            <w:pPr>
              <w:rPr>
                <w:lang w:eastAsia="ko-KR"/>
              </w:rPr>
            </w:pPr>
            <w:r>
              <w:rPr>
                <w:noProof/>
                <w:lang w:eastAsia="en-US"/>
              </w:rPr>
              <w:t xml:space="preserve">               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33E40A23" wp14:editId="4E65C08C">
                  <wp:extent cx="2080260" cy="1348740"/>
                  <wp:effectExtent l="0" t="0" r="0" b="3810"/>
                  <wp:docPr id="1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968" cy="135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EE3FDC" w:rsidRPr="002B6A66" w:rsidRDefault="00EE3FDC" w:rsidP="00A74329">
            <w:pPr>
              <w:autoSpaceDE w:val="0"/>
              <w:autoSpaceDN w:val="0"/>
              <w:adjustRightInd w:val="0"/>
              <w:jc w:val="center"/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EE3FDC" w:rsidRPr="002B6A66" w:rsidTr="00A74329">
        <w:tc>
          <w:tcPr>
            <w:tcW w:w="8005" w:type="dxa"/>
          </w:tcPr>
          <w:p w:rsidR="00EE3FDC" w:rsidRPr="002B6A66" w:rsidRDefault="00EE3FDC" w:rsidP="00A74329">
            <w:pPr>
              <w:spacing w:before="80" w:after="80"/>
              <w:rPr>
                <w:lang w:eastAsia="ko-KR"/>
              </w:rPr>
            </w:pPr>
            <w:r>
              <w:rPr>
                <w:lang w:eastAsia="ko-KR"/>
              </w:rPr>
              <w:t>Workers required to handle hazardous wastes are wearing the appropriate PPE.</w:t>
            </w:r>
          </w:p>
        </w:tc>
        <w:tc>
          <w:tcPr>
            <w:tcW w:w="1012" w:type="dxa"/>
          </w:tcPr>
          <w:p w:rsidR="00EE3FDC" w:rsidRPr="002B6A66" w:rsidRDefault="00EE3FDC" w:rsidP="00A74329">
            <w:pPr>
              <w:autoSpaceDE w:val="0"/>
              <w:autoSpaceDN w:val="0"/>
              <w:adjustRightInd w:val="0"/>
              <w:jc w:val="center"/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EE3FDC" w:rsidTr="00A74329">
        <w:tc>
          <w:tcPr>
            <w:tcW w:w="8005" w:type="dxa"/>
          </w:tcPr>
          <w:p w:rsidR="00EE3FDC" w:rsidRDefault="00EE3FDC" w:rsidP="00A74329">
            <w:pPr>
              <w:rPr>
                <w:lang w:eastAsia="ko-KR"/>
              </w:rPr>
            </w:pPr>
            <w:r>
              <w:rPr>
                <w:lang w:eastAsia="ko-KR"/>
              </w:rPr>
              <w:t>A</w:t>
            </w:r>
            <w:r w:rsidRPr="0030327B">
              <w:rPr>
                <w:lang w:eastAsia="ko-KR"/>
              </w:rPr>
              <w:t>n emergency shower and</w:t>
            </w:r>
            <w:r>
              <w:rPr>
                <w:lang w:eastAsia="ko-KR"/>
              </w:rPr>
              <w:t>/or</w:t>
            </w:r>
            <w:r w:rsidRPr="0030327B">
              <w:rPr>
                <w:lang w:eastAsia="ko-KR"/>
              </w:rPr>
              <w:t xml:space="preserve"> eyewash station</w:t>
            </w:r>
            <w:r>
              <w:rPr>
                <w:lang w:eastAsia="ko-KR"/>
              </w:rPr>
              <w:t xml:space="preserve"> is </w:t>
            </w:r>
            <w:r w:rsidRPr="0030327B">
              <w:rPr>
                <w:lang w:eastAsia="ko-KR"/>
              </w:rPr>
              <w:t>located near the</w:t>
            </w:r>
            <w:r>
              <w:rPr>
                <w:lang w:eastAsia="ko-KR"/>
              </w:rPr>
              <w:t xml:space="preserve"> location hazardous wastes are being handled</w:t>
            </w:r>
            <w:r w:rsidRPr="0030327B">
              <w:rPr>
                <w:lang w:eastAsia="ko-KR"/>
              </w:rPr>
              <w:t>.</w:t>
            </w:r>
          </w:p>
        </w:tc>
        <w:tc>
          <w:tcPr>
            <w:tcW w:w="1012" w:type="dxa"/>
          </w:tcPr>
          <w:p w:rsidR="00EE3FDC" w:rsidRDefault="00EE3FDC" w:rsidP="00A743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</w:tbl>
    <w:p w:rsidR="004C4E8A" w:rsidRDefault="004C4E8A">
      <w:bookmarkStart w:id="0" w:name="_GoBack"/>
      <w:bookmarkEnd w:id="0"/>
    </w:p>
    <w:sectPr w:rsidR="004C4E8A" w:rsidSect="00EE3FDC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1A" w:rsidRDefault="0042131A" w:rsidP="00617D9F">
      <w:pPr>
        <w:spacing w:after="0" w:line="240" w:lineRule="auto"/>
      </w:pPr>
      <w:r>
        <w:separator/>
      </w:r>
    </w:p>
  </w:endnote>
  <w:endnote w:type="continuationSeparator" w:id="0">
    <w:p w:rsidR="0042131A" w:rsidRDefault="0042131A" w:rsidP="0061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9F" w:rsidRPr="000E5BFC" w:rsidRDefault="00617D9F" w:rsidP="00617D9F">
    <w:pPr>
      <w:rPr>
        <w:sz w:val="18"/>
        <w:szCs w:val="18"/>
      </w:rPr>
    </w:pPr>
    <w:r w:rsidRPr="000E5BFC">
      <w:rPr>
        <w:sz w:val="18"/>
        <w:szCs w:val="18"/>
      </w:rPr>
      <w:t xml:space="preserve">This work is licensed under the Creative Commons Attribution 4.0 International License. To view a copy of this license, visit </w:t>
    </w:r>
    <w:hyperlink r:id="rId1" w:history="1">
      <w:r w:rsidRPr="000E5BFC">
        <w:rPr>
          <w:rStyle w:val="Hyperlink"/>
          <w:sz w:val="18"/>
          <w:szCs w:val="18"/>
        </w:rPr>
        <w:t>http://creativecommons.org/licenses/by/4.0/</w:t>
      </w:r>
    </w:hyperlink>
    <w:r w:rsidRPr="000E5BFC">
      <w:rPr>
        <w:sz w:val="18"/>
        <w:szCs w:val="18"/>
      </w:rPr>
      <w:t>.</w:t>
    </w:r>
  </w:p>
  <w:p w:rsidR="00617D9F" w:rsidRDefault="00617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77" w:rsidRPr="000E5BFC" w:rsidRDefault="00321577" w:rsidP="00321577">
    <w:pPr>
      <w:rPr>
        <w:sz w:val="18"/>
        <w:szCs w:val="18"/>
      </w:rPr>
    </w:pPr>
    <w:r w:rsidRPr="000E5BFC">
      <w:rPr>
        <w:sz w:val="18"/>
        <w:szCs w:val="18"/>
      </w:rPr>
      <w:t xml:space="preserve">This work is licensed under the Creative Commons Attribution 4.0 International License. To view a copy of this license, visit </w:t>
    </w:r>
    <w:hyperlink r:id="rId1" w:history="1">
      <w:r w:rsidRPr="000965F8">
        <w:rPr>
          <w:rStyle w:val="Hyperlink"/>
          <w:sz w:val="18"/>
        </w:rPr>
        <w:t>http://creativecommons.org/licenses/by/4.0/</w:t>
      </w:r>
    </w:hyperlink>
    <w:r w:rsidRPr="000965F8">
      <w:rPr>
        <w:sz w:val="14"/>
        <w:szCs w:val="18"/>
      </w:rPr>
      <w:t>.</w:t>
    </w:r>
  </w:p>
  <w:p w:rsidR="00321577" w:rsidRDefault="00321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1A" w:rsidRDefault="0042131A" w:rsidP="00617D9F">
      <w:pPr>
        <w:spacing w:after="0" w:line="240" w:lineRule="auto"/>
      </w:pPr>
      <w:r>
        <w:separator/>
      </w:r>
    </w:p>
  </w:footnote>
  <w:footnote w:type="continuationSeparator" w:id="0">
    <w:p w:rsidR="0042131A" w:rsidRDefault="0042131A" w:rsidP="0061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A33"/>
    <w:multiLevelType w:val="hybridMultilevel"/>
    <w:tmpl w:val="362C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85909"/>
    <w:multiLevelType w:val="hybridMultilevel"/>
    <w:tmpl w:val="E3FE3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0BD"/>
    <w:multiLevelType w:val="hybridMultilevel"/>
    <w:tmpl w:val="EE829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015E2"/>
    <w:multiLevelType w:val="hybridMultilevel"/>
    <w:tmpl w:val="EA289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B60AA"/>
    <w:multiLevelType w:val="hybridMultilevel"/>
    <w:tmpl w:val="49A4B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43CBA">
      <w:start w:val="1"/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88"/>
    <w:rsid w:val="0028118D"/>
    <w:rsid w:val="002E6A88"/>
    <w:rsid w:val="00321577"/>
    <w:rsid w:val="0042131A"/>
    <w:rsid w:val="004C4E8A"/>
    <w:rsid w:val="005517D7"/>
    <w:rsid w:val="005F277D"/>
    <w:rsid w:val="00603CAA"/>
    <w:rsid w:val="00617D9F"/>
    <w:rsid w:val="00712AB7"/>
    <w:rsid w:val="00760C66"/>
    <w:rsid w:val="00D8529A"/>
    <w:rsid w:val="00E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CD21"/>
  <w15:chartTrackingRefBased/>
  <w15:docId w15:val="{30083908-4EBA-499D-8A83-FB30DFB5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6A88"/>
    <w:pPr>
      <w:spacing w:after="120" w:line="264" w:lineRule="auto"/>
    </w:pPr>
    <w:rPr>
      <w:rFonts w:eastAsiaTheme="minorEastAsia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88"/>
    <w:pPr>
      <w:ind w:left="720"/>
      <w:contextualSpacing/>
    </w:pPr>
  </w:style>
  <w:style w:type="table" w:styleId="TableGrid">
    <w:name w:val="Table Grid"/>
    <w:basedOn w:val="TableNormal"/>
    <w:uiPriority w:val="59"/>
    <w:rsid w:val="002E6A88"/>
    <w:pPr>
      <w:spacing w:after="0" w:line="240" w:lineRule="auto"/>
    </w:pPr>
    <w:rPr>
      <w:rFonts w:eastAsiaTheme="minorEastAsia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9F"/>
    <w:rPr>
      <w:rFonts w:eastAsiaTheme="minorEastAsia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1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9F"/>
    <w:rPr>
      <w:rFonts w:eastAsiaTheme="minorEastAsia"/>
      <w:sz w:val="21"/>
      <w:szCs w:val="21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17D9F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EE3FDC"/>
    <w:pPr>
      <w:spacing w:after="0" w:line="240" w:lineRule="auto"/>
    </w:pPr>
    <w:rPr>
      <w:rFonts w:eastAsiaTheme="minorEastAsia"/>
      <w:sz w:val="21"/>
      <w:szCs w:val="2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E3FDC"/>
    <w:rPr>
      <w:rFonts w:eastAsiaTheme="minorEastAsia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jdakin@sumerra.com</dc:creator>
  <cp:keywords/>
  <dc:description/>
  <cp:lastModifiedBy>jdakin@sumerra.com</cp:lastModifiedBy>
  <cp:revision>3</cp:revision>
  <cp:lastPrinted>2017-05-31T06:18:00Z</cp:lastPrinted>
  <dcterms:created xsi:type="dcterms:W3CDTF">2017-06-15T05:17:00Z</dcterms:created>
  <dcterms:modified xsi:type="dcterms:W3CDTF">2017-06-15T05:20:00Z</dcterms:modified>
</cp:coreProperties>
</file>